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3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D864F8" w:rsidRPr="00D864F8" w14:paraId="0D90DB7F" w14:textId="77777777" w:rsidTr="00510AD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A5C5EB2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4A9A829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АУЫЛ  БИЛ</w:t>
            </w:r>
            <w:proofErr w:type="gramEnd"/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ƏМƏ</w:t>
            </w: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h</w:t>
            </w: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СОВЕТЫ</w:t>
            </w:r>
          </w:p>
          <w:p w14:paraId="1BA4EA0A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ТУГАЙ  АУЫЛ</w:t>
            </w:r>
            <w:proofErr w:type="gramEnd"/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СОВЕТЫ </w:t>
            </w:r>
          </w:p>
          <w:p w14:paraId="20B33D81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14:paraId="174B365D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14:paraId="3B713F9D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h</w:t>
            </w:r>
            <w:r w:rsidRPr="00D8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Ы</w:t>
            </w:r>
          </w:p>
          <w:p w14:paraId="02A23BDC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4DF27E3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2009F574" w14:textId="77777777" w:rsidR="00D864F8" w:rsidRPr="00D864F8" w:rsidRDefault="00D864F8" w:rsidP="00D86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drawing>
                <wp:inline distT="0" distB="0" distL="0" distR="0" wp14:anchorId="04BB7C10" wp14:editId="27932597">
                  <wp:extent cx="704850" cy="752475"/>
                  <wp:effectExtent l="0" t="0" r="0" b="0"/>
                  <wp:docPr id="14750310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91A2048" w14:textId="77777777" w:rsidR="00D864F8" w:rsidRPr="00D864F8" w:rsidRDefault="00D864F8" w:rsidP="00D864F8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3A554C63" w14:textId="77777777" w:rsidR="00D864F8" w:rsidRPr="00D864F8" w:rsidRDefault="00D864F8" w:rsidP="00D864F8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14:paraId="756050D2" w14:textId="77777777" w:rsidR="00D864F8" w:rsidRPr="00D864F8" w:rsidRDefault="00D864F8" w:rsidP="00D864F8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14:paraId="0B0986D9" w14:textId="77777777" w:rsidR="00D864F8" w:rsidRPr="00D864F8" w:rsidRDefault="00D864F8" w:rsidP="00D864F8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14:paraId="0786DE5F" w14:textId="77777777" w:rsidR="00D864F8" w:rsidRPr="00D864F8" w:rsidRDefault="00D864F8" w:rsidP="00D864F8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864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14:paraId="5C0D8414" w14:textId="77777777" w:rsidR="00D864F8" w:rsidRPr="00D864F8" w:rsidRDefault="00D864F8" w:rsidP="00D864F8">
            <w:pPr>
              <w:keepNext/>
              <w:suppressAutoHyphens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proofErr w:type="gramStart"/>
            <w:r w:rsidRPr="00D86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</w:tc>
      </w:tr>
    </w:tbl>
    <w:p w14:paraId="09413DA7" w14:textId="77777777" w:rsidR="00D864F8" w:rsidRPr="00D864F8" w:rsidRDefault="00D864F8" w:rsidP="00D86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КАРАР</w:t>
      </w:r>
      <w:r w:rsidRPr="00D8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РЕШЕНИЕ</w:t>
      </w:r>
    </w:p>
    <w:p w14:paraId="26E6F115" w14:textId="1E2DFAE5" w:rsidR="00D864F8" w:rsidRPr="00D864F8" w:rsidRDefault="00D864F8" w:rsidP="00D8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8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 2023 й.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64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8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г.</w:t>
      </w:r>
    </w:p>
    <w:p w14:paraId="3B4009CF" w14:textId="77777777"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2C52A2F" w14:textId="77777777"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8C84063" w14:textId="77777777"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5FB3">
        <w:rPr>
          <w:rFonts w:ascii="Times New Roman" w:hAnsi="Times New Roman" w:cs="Times New Roman"/>
          <w:b w:val="0"/>
          <w:sz w:val="28"/>
          <w:szCs w:val="28"/>
        </w:rPr>
        <w:t>4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5FB3">
        <w:rPr>
          <w:rFonts w:ascii="Times New Roman" w:hAnsi="Times New Roman" w:cs="Times New Roman"/>
          <w:b w:val="0"/>
          <w:sz w:val="28"/>
          <w:szCs w:val="28"/>
        </w:rPr>
        <w:t>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5FB3">
        <w:rPr>
          <w:rFonts w:ascii="Times New Roman" w:hAnsi="Times New Roman" w:cs="Times New Roman"/>
          <w:b w:val="0"/>
          <w:sz w:val="28"/>
          <w:szCs w:val="28"/>
        </w:rPr>
        <w:t>6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14:paraId="255AE311" w14:textId="77777777"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C5D97F" w14:textId="77777777"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14:paraId="03359A35" w14:textId="77777777"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14:paraId="3A699827" w14:textId="77777777"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14:paraId="7FFEF326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proofErr w:type="gramEnd"/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32CB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933E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97B5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33E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72C2E79F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</w:t>
      </w:r>
      <w:proofErr w:type="gramStart"/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proofErr w:type="gramEnd"/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> 22</w:t>
      </w:r>
      <w:r w:rsidR="00E97B5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600,00</w:t>
      </w:r>
      <w:r w:rsidR="00035FB3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3A3CB17A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14:paraId="457172C2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C4C435C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35FB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14:paraId="04C0F3D2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2 </w:t>
      </w:r>
      <w:r w:rsidR="00C933ED">
        <w:rPr>
          <w:rFonts w:ascii="Times New Roman" w:hAnsi="Times New Roman" w:cs="Times New Roman"/>
          <w:b w:val="0"/>
          <w:bCs w:val="0"/>
          <w:sz w:val="28"/>
          <w:szCs w:val="28"/>
        </w:rPr>
        <w:t>821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933E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933ED">
        <w:rPr>
          <w:rFonts w:ascii="Times New Roman" w:hAnsi="Times New Roman" w:cs="Times New Roman"/>
          <w:b w:val="0"/>
          <w:bCs w:val="0"/>
          <w:sz w:val="28"/>
          <w:szCs w:val="28"/>
        </w:rPr>
        <w:t> 861 300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056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9567921" w14:textId="77777777"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proofErr w:type="gramEnd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>2 821 400,00</w:t>
      </w:r>
      <w:r w:rsidR="00CD60A4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 000,00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 и на 202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6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2 861 300,00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147D4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571EFE3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A267F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proofErr w:type="gramEnd"/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A267F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F0C858B" w14:textId="77777777"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267F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0438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A267F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</w:t>
      </w:r>
      <w:proofErr w:type="gramEnd"/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6C1A89" w14:textId="77777777"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14:paraId="3442C91F" w14:textId="77777777"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012A6B74" w14:textId="77777777"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14:paraId="5368F5AA" w14:textId="77777777"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A72D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A72D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A72D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CA56142" w14:textId="77777777"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6F9118DC" w14:textId="77777777"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14:paraId="2C73A1BD" w14:textId="77777777"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непрограммным направлениям деятельности), группам видов расходов классификации расходов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B10A633" w14:textId="77777777"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8C4EADC" w14:textId="77777777"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14:paraId="3572EF56" w14:textId="77777777"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и на плановый период 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55481FF" w14:textId="77777777"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14:paraId="660BDF9D" w14:textId="77777777"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08E6AEA" w14:textId="77777777"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2A88DE4" w14:textId="77777777"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14:paraId="37583979" w14:textId="77777777"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EA1A209" w14:textId="77777777"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14:paraId="29D20D43" w14:textId="77777777"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proofErr w:type="gramStart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proofErr w:type="gramEnd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37C95" w14:textId="77777777"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DF57A3" w14:textId="77777777"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14:paraId="6631FDA0" w14:textId="77777777"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6DBD53E" w14:textId="77777777"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5C2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14:paraId="5A907780" w14:textId="77777777"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723C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14:paraId="73454A61" w14:textId="77777777"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14:paraId="4443661F" w14:textId="77777777"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723C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14:paraId="68B188E7" w14:textId="77777777"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 w:rsidR="00C723C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14:paraId="7DDDF75B" w14:textId="77777777"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14:paraId="47675E69" w14:textId="77777777"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</w:t>
      </w:r>
      <w:r w:rsidR="00C723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14:paraId="639DC1D3" w14:textId="77777777"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</w:t>
      </w:r>
      <w:r w:rsidR="002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2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стратегических направлениях социально-экономического развития Республики Башкортостан до 2024 года»;</w:t>
      </w:r>
    </w:p>
    <w:p w14:paraId="3621BA22" w14:textId="77777777"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46EE7534" w14:textId="77777777"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14:paraId="45133756" w14:textId="77777777"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ECA38" w14:textId="77777777"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 между целевыми статьями, видами расходов классификации расходов бюджетов, финансовое 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которых осуществляется за счет средств федерального бюджета и (или) бюджета Республики Башкортостан;</w:t>
      </w:r>
    </w:p>
    <w:p w14:paraId="3CE07001" w14:textId="77777777"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14:paraId="0935AFE8" w14:textId="77777777"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14:paraId="6BAA0D14" w14:textId="77777777"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14:paraId="75C4A223" w14:textId="77777777"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14:paraId="138D0BE2" w14:textId="77777777"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14:paraId="250D979F" w14:textId="77777777"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14:paraId="157E8349" w14:textId="77777777"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14:paraId="7866218C" w14:textId="77777777" w:rsidR="00745614" w:rsidRDefault="00711258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3350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14:paraId="0121F837" w14:textId="77777777"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3C0F4E" w14:textId="77777777"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41A700" w14:textId="77777777" w:rsidR="00D864F8" w:rsidRDefault="00D864F8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23D518" w14:textId="77777777" w:rsidR="004670E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</w:t>
      </w:r>
      <w:r w:rsidR="000B5FB0">
        <w:rPr>
          <w:b w:val="0"/>
          <w:bCs w:val="0"/>
          <w:i w:val="0"/>
          <w:iCs w:val="0"/>
        </w:rPr>
        <w:t>Мартемьянов А.Н.</w:t>
      </w:r>
    </w:p>
    <w:p w14:paraId="0FB2A9B7" w14:textId="77777777"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14:paraId="54257ED9" w14:textId="77777777"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874222" w:rsidSect="004A0045">
      <w:headerReference w:type="default" r:id="rId8"/>
      <w:headerReference w:type="first" r:id="rId9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3401" w14:textId="77777777" w:rsidR="00FD4B1B" w:rsidRDefault="00FD4B1B" w:rsidP="00A73E2F">
      <w:pPr>
        <w:spacing w:after="0" w:line="240" w:lineRule="auto"/>
      </w:pPr>
      <w:r>
        <w:separator/>
      </w:r>
    </w:p>
  </w:endnote>
  <w:endnote w:type="continuationSeparator" w:id="0">
    <w:p w14:paraId="68C2199D" w14:textId="77777777" w:rsidR="00FD4B1B" w:rsidRDefault="00FD4B1B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DE89" w14:textId="77777777" w:rsidR="00FD4B1B" w:rsidRDefault="00FD4B1B" w:rsidP="00A73E2F">
      <w:pPr>
        <w:spacing w:after="0" w:line="240" w:lineRule="auto"/>
      </w:pPr>
      <w:r>
        <w:separator/>
      </w:r>
    </w:p>
  </w:footnote>
  <w:footnote w:type="continuationSeparator" w:id="0">
    <w:p w14:paraId="69756D65" w14:textId="77777777" w:rsidR="00FD4B1B" w:rsidRDefault="00FD4B1B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2477" w14:textId="77777777" w:rsidR="00C97AB4" w:rsidRPr="00156A4F" w:rsidRDefault="00575F2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E97B57">
      <w:rPr>
        <w:rFonts w:ascii="Times New Roman" w:hAnsi="Times New Roman" w:cs="Times New Roman"/>
        <w:noProof/>
        <w:sz w:val="28"/>
        <w:szCs w:val="28"/>
      </w:rPr>
      <w:t>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14:paraId="0D3FDC2D" w14:textId="77777777"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9162" w14:textId="77777777"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59850EE1" w14:textId="77777777"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5FB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6F97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4B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16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D4E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6A4F"/>
    <w:rsid w:val="00156BD3"/>
    <w:rsid w:val="00156CB5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500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3F9"/>
    <w:rsid w:val="002E1C42"/>
    <w:rsid w:val="002E3E2E"/>
    <w:rsid w:val="002E4D2B"/>
    <w:rsid w:val="002E7826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5C22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635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5F27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0F7B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4DA5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07CC0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D5B43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0776"/>
    <w:rsid w:val="00822C37"/>
    <w:rsid w:val="00823EC8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CBB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2E28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4382"/>
    <w:rsid w:val="00A069A0"/>
    <w:rsid w:val="00A06DC1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267FB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AF6311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05E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3C7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2446"/>
    <w:rsid w:val="00C93039"/>
    <w:rsid w:val="00C933ED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60A4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64F8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A72D4"/>
    <w:rsid w:val="00DB01FB"/>
    <w:rsid w:val="00DB0240"/>
    <w:rsid w:val="00DB1349"/>
    <w:rsid w:val="00DB3A1F"/>
    <w:rsid w:val="00DB3D03"/>
    <w:rsid w:val="00DB51F5"/>
    <w:rsid w:val="00DB6503"/>
    <w:rsid w:val="00DB7A3D"/>
    <w:rsid w:val="00DC00F4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97B57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5488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1390"/>
    <w:rsid w:val="00F720D7"/>
    <w:rsid w:val="00F726DB"/>
    <w:rsid w:val="00F7593B"/>
    <w:rsid w:val="00F817A9"/>
    <w:rsid w:val="00F82C55"/>
    <w:rsid w:val="00F82D70"/>
    <w:rsid w:val="00F83BBC"/>
    <w:rsid w:val="00F87AA6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4B1B"/>
    <w:rsid w:val="00FD607E"/>
    <w:rsid w:val="00FD7228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018F"/>
  <w15:docId w15:val="{205E75E5-6908-4FEB-95E2-39C4C55F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CCD-EE15-4831-8A4A-77199DF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Диана Абибуллаева</cp:lastModifiedBy>
  <cp:revision>20</cp:revision>
  <cp:lastPrinted>2023-12-29T09:26:00Z</cp:lastPrinted>
  <dcterms:created xsi:type="dcterms:W3CDTF">2022-11-13T15:50:00Z</dcterms:created>
  <dcterms:modified xsi:type="dcterms:W3CDTF">2023-12-29T09:26:00Z</dcterms:modified>
</cp:coreProperties>
</file>